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AI Agent Go-Live Checklist</w:t>
      </w:r>
    </w:p>
    <w:p>
      <w:pPr>
        <w:spacing w:after="120"/>
      </w:pPr>
      <w:r>
        <w:rPr>
          <w:i/>
          <w:sz w:val="22"/>
          <w:szCs w:val="22"/>
        </w:rPr>
        <w:t xml:space="preserve">A launch checklist for testing an AI support agent before customers see it.</w:t>
      </w:r>
    </w:p>
    <w:p>
      <w:pPr>
        <w:spacing w:before="220" w:after="60"/>
      </w:pPr>
      <w:r>
        <w:rPr>
          <w:b/>
          <w:sz w:val="28"/>
          <w:szCs w:val="28"/>
        </w:rPr>
        <w:t xml:space="preserve">Knowledge base readiness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knowledge base readiness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knowledge base readiness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Brand voice QA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brand voice qa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brand voice qa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Escalation QA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escalation qa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escalation qa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Multilingual QA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multilingual qa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multilingual qa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Compliance and safety QA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compliance and safety qa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compliance and safety qa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Post-launch monitoring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post-launch monitoring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post-launch monitoring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https://crmsoftware.pro/templates/ai-agent-go-live-checklist</w:t>
      </w:r>
    </w:p>
    <w:sectPr>
      <w:pgSz w:w="12240" w:h="15840"/>
      <w:pgMar w:top="1440" w:right="1440" w:bottom="1440" w:left="1440"/>
    </w:sectPr>
  </w:body>
</w:document>
</file>