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Lead Qualification Script</w:t>
      </w:r>
    </w:p>
    <w:p>
      <w:pPr>
        <w:spacing w:after="120"/>
      </w:pPr>
      <w:r>
        <w:rPr>
          <w:i/>
          <w:sz w:val="22"/>
          <w:szCs w:val="22"/>
        </w:rPr>
        <w:t xml:space="preserve">A practical script for qualifying inbound leads before a sales call.</w:t>
      </w:r>
    </w:p>
    <w:p>
      <w:pPr>
        <w:spacing w:before="220" w:after="60"/>
      </w:pPr>
      <w:r>
        <w:rPr>
          <w:b/>
          <w:sz w:val="28"/>
          <w:szCs w:val="28"/>
        </w:rPr>
        <w:t xml:space="preserve">Website chat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website chat qualification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website chat qualification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Phone intake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phone intake qualification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phone intake qualification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Agency discovery screen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agency discovery screen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agency discovery screen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High-ticket service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high-ticket service inquiry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high-ticket service inquiry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SaaS trial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saas trial qualification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saas trial qualification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Bad-fit polite exit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bad-fit polite exit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bad-fit polite exit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https://crmsoftware.pro/templates/lead-qualification-script</w:t>
      </w:r>
    </w:p>
    <w:sectPr>
      <w:pgSz w:w="12240" w:h="15840"/>
      <w:pgMar w:top="1440" w:right="1440" w:bottom="1440" w:left="1440"/>
    </w:sectPr>
  </w:body>
</w:document>
</file>